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Kedves Hallgatók!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Az alábbi táblázatokban találhatjátok a 2025/2026-os tanév tavaszi félévű</w:t>
      </w:r>
      <w:r w:rsidDel="00000000" w:rsidR="00000000" w:rsidRPr="00000000">
        <w:rPr>
          <w:b w:val="1"/>
          <w:bCs w:val="1"/>
          <w:rtl w:val="0"/>
        </w:rPr>
        <w:t xml:space="preserve"> Szociális Támogatás önköltséges és levelezős hallgatóknak 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0"/>
        </w:rPr>
        <w:t xml:space="preserve">ELŐZETES </w:t>
      </w:r>
      <w:r w:rsidDel="00000000" w:rsidR="00000000" w:rsidRPr="00000000">
        <w:rPr>
          <w:rtl w:val="0"/>
        </w:rPr>
        <w:t xml:space="preserve">eredményeit.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Azok a pályázatok automatikusan </w:t>
      </w:r>
      <w:r w:rsidDel="00000000" w:rsidR="00000000" w:rsidRPr="00000000">
        <w:rPr>
          <w:b w:val="1"/>
          <w:bCs w:val="1"/>
          <w:rtl w:val="0"/>
        </w:rPr>
        <w:t xml:space="preserve">0 pontos</w:t>
      </w:r>
      <w:r w:rsidDel="00000000" w:rsidR="00000000" w:rsidRPr="00000000">
        <w:rPr>
          <w:rtl w:val="0"/>
        </w:rPr>
        <w:t xml:space="preserve"> kategóriába kerültek a pályázati kiírásnak megfelelően: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  <w:t xml:space="preserve">ahol hiányzott a lakcímkártya és/vagy a hatósági igazolás az adott helyen egy háztartásban élő személyekről, illetve ezen igazolások nem a Pályázati kiírásban szereplő formátumban való feltöltése esetén,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ahol az egy főre eső nettó jövedelem több volt, mint </w:t>
      </w:r>
      <w:r w:rsidDel="00000000" w:rsidR="00000000" w:rsidRPr="00000000">
        <w:rPr>
          <w:rtl w:val="0"/>
        </w:rPr>
        <w:t xml:space="preserve">218 100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forint, ami a HKR által szabályozott</w:t>
      </w:r>
      <w:r w:rsidDel="00000000" w:rsidR="00000000" w:rsidRPr="00000000">
        <w:rPr>
          <w:rtl w:val="0"/>
        </w:rPr>
        <w:t xml:space="preserve">,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akik felvételkor és a 2025/2026-os tanév tavaszi félévében a pénzügyi státuszuk államilag támogatott nappali forma,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akik a 20</w:t>
      </w:r>
      <w:r w:rsidDel="00000000" w:rsidR="00000000" w:rsidRPr="00000000">
        <w:rPr>
          <w:rtl w:val="0"/>
        </w:rPr>
        <w:t xml:space="preserve">25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/20</w:t>
      </w:r>
      <w:r w:rsidDel="00000000" w:rsidR="00000000" w:rsidRPr="00000000">
        <w:rPr>
          <w:rtl w:val="0"/>
        </w:rPr>
        <w:t xml:space="preserve">26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 tanév </w:t>
      </w:r>
      <w:r w:rsidDel="00000000" w:rsidR="00000000" w:rsidRPr="00000000">
        <w:rPr>
          <w:rtl w:val="0"/>
        </w:rPr>
        <w:t xml:space="preserve">tavaszi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félévében passzív jogviszonnyal rendelkeznek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ahol nem lehetett megállapítani egy adott személy jövedelmi helyzetét családon belül.</w:t>
      </w:r>
    </w:p>
    <w:p w:rsidR="00000000" w:rsidDel="00000000" w:rsidP="00000000" w:rsidRDefault="00000000" w:rsidRPr="00000000" w14:paraId="0000000A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b w:val="1"/>
          <w:bCs w:val="1"/>
          <w:i w:val="1"/>
          <w:iCs w:val="1"/>
          <w:sz w:val="36"/>
          <w:szCs w:val="36"/>
        </w:rPr>
      </w:pPr>
      <w:r w:rsidDel="00000000" w:rsidR="00000000" w:rsidRPr="00000000">
        <w:rPr>
          <w:b w:val="1"/>
          <w:bCs w:val="1"/>
          <w:i w:val="1"/>
          <w:iCs w:val="1"/>
          <w:sz w:val="36"/>
          <w:szCs w:val="36"/>
          <w:rtl w:val="0"/>
        </w:rPr>
        <w:t xml:space="preserve">Szociális ösztöndíjra jogosultak</w:t>
        <w:br w:type="textWrapping"/>
        <w:t xml:space="preserve">Önköltséges/állami levelezős</w:t>
      </w:r>
    </w:p>
    <w:p w:rsidR="00000000" w:rsidDel="00000000" w:rsidP="00000000" w:rsidRDefault="00000000" w:rsidRPr="00000000" w14:paraId="0000001A">
      <w:pPr>
        <w:ind w:right="-111"/>
        <w:jc w:val="center"/>
        <w:rPr/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595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90"/>
        <w:gridCol w:w="2715"/>
        <w:gridCol w:w="1650"/>
        <w:tblGridChange w:id="0">
          <w:tblGrid>
            <w:gridCol w:w="1590"/>
            <w:gridCol w:w="2715"/>
            <w:gridCol w:w="165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356854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ind w:right="-111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sz w:val="20"/>
                <w:szCs w:val="20"/>
                <w:rtl w:val="0"/>
              </w:rPr>
              <w:t xml:space="preserve">Neptun kód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56854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ind w:right="-111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sz w:val="20"/>
                <w:szCs w:val="20"/>
                <w:rtl w:val="0"/>
              </w:rPr>
              <w:t xml:space="preserve">Előzetes eredmény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356854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ind w:right="-111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ffff"/>
                <w:sz w:val="20"/>
                <w:szCs w:val="20"/>
                <w:rtl w:val="0"/>
              </w:rPr>
              <w:t xml:space="preserve">Pontszám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TZ1KMD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CI655A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ELBTRB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74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DIZG5Y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WRE164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A6ZA99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GSIW4X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Z9ORQS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M5Y7CT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BAJEFR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QIE6LC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BVFHD3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DRMWMX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53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O4W0L8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BVK0LY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Y48S7R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T8EPOK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E9GT0W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WOW17L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K5RZBR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MMD7GC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APAR2H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WH10FL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C0BWB3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HZK0SQ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HD7WYA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IJFAYM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EP32UT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IVUWL3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LB7KP2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LD8T1W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EI67DX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WXNSFJ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BAFRYQ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WBE3XH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RVS9GS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BE94N5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E4Y1VI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JO0M9G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ff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FTU6A4</w:t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Elutasítva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000000" w:space="0" w:sz="5" w:val="single"/>
              <w:bottom w:color="cccccc" w:space="0" w:sz="5" w:val="single"/>
              <w:right w:color="000000" w:space="0" w:sz="5" w:val="single"/>
            </w:tcBorders>
            <w:shd w:fill="ff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pageBreakBefore w:val="0"/>
        <w:ind w:right="-111"/>
        <w:jc w:val="left"/>
        <w:rPr>
          <w:b w:val="1"/>
          <w:bCs w:val="1"/>
          <w:sz w:val="28"/>
          <w:szCs w:val="28"/>
        </w:rPr>
      </w:pPr>
      <w:bookmarkStart w:colFirst="0" w:colLast="0" w:name="_heading=h.2et92p0" w:id="1"/>
      <w:bookmarkEnd w:id="1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616" w:top="3238" w:left="1417.3228346456694" w:right="1466" w:header="0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Garamond" w:cs="Garamond" w:eastAsia="Garamond" w:hAnsi="Garamond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Garamond" w:cs="Garamond" w:eastAsia="Garamond" w:hAnsi="Garamond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Garamond" w:cs="Garamond" w:eastAsia="Garamond" w:hAnsi="Garamond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Garamond" w:cs="Garamond" w:eastAsia="Garamond" w:hAnsi="Garamond"/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Garamond" w:cs="Garamond" w:eastAsia="Garamond" w:hAnsi="Garamond"/>
        <w:sz w:val="22"/>
        <w:szCs w:val="22"/>
      </w:rPr>
    </w:pPr>
    <w:r w:rsidDel="00000000" w:rsidR="00000000" w:rsidRPr="00000000">
      <w:rPr>
        <w:rFonts w:ascii="Garamond" w:cs="Garamond" w:eastAsia="Garamond" w:hAnsi="Garamond"/>
        <w:sz w:val="22"/>
        <w:szCs w:val="22"/>
        <w:rtl w:val="0"/>
      </w:rPr>
      <w:t xml:space="preserve">H-8200 Veszprém, Egyetem u. 10.  •  H-8210 Veszprém, Pf. 1158</w:t>
    </w:r>
  </w:p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567" w:lineRule="auto"/>
      <w:jc w:val="center"/>
      <w:rPr>
        <w:rFonts w:ascii="Garamond" w:cs="Garamond" w:eastAsia="Garamond" w:hAnsi="Garamond"/>
        <w:sz w:val="22"/>
        <w:szCs w:val="22"/>
      </w:rPr>
    </w:pPr>
    <w:r w:rsidDel="00000000" w:rsidR="00000000" w:rsidRPr="00000000">
      <w:rPr>
        <w:rFonts w:ascii="Garamond" w:cs="Garamond" w:eastAsia="Garamond" w:hAnsi="Garamond"/>
        <w:sz w:val="22"/>
        <w:szCs w:val="22"/>
        <w:rtl w:val="0"/>
      </w:rPr>
      <w:t xml:space="preserve">Telefon: (+36 88) 624-161  • Internet: pehok.uni-pannon.hu  • e-mail: szoc@hok.uni-pannon.hu</w:t>
    </w:r>
  </w:p>
  <w:p w:rsidR="00000000" w:rsidDel="00000000" w:rsidP="00000000" w:rsidRDefault="00000000" w:rsidRPr="00000000" w14:paraId="000000A0">
    <w:pPr>
      <w:spacing w:line="36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567" w:lineRule="auto"/>
      <w:jc w:val="center"/>
      <w:rPr>
        <w:rFonts w:ascii="Garamond" w:cs="Garamond" w:eastAsia="Garamond" w:hAnsi="Garamond"/>
        <w:sz w:val="22"/>
        <w:szCs w:val="22"/>
      </w:rPr>
    </w:pPr>
    <w:r w:rsidDel="00000000" w:rsidR="00000000" w:rsidRPr="00000000">
      <w:rPr>
        <w:rFonts w:ascii="Garamond" w:cs="Garamond" w:eastAsia="Garamond" w:hAnsi="Garamond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1134" w:lineRule="auto"/>
      <w:ind w:left="2125.9842519685035" w:firstLine="0"/>
      <w:rPr>
        <w:rFonts w:ascii="Garamond" w:cs="Garamond" w:eastAsia="Garamond" w:hAnsi="Garamond"/>
        <w:b w:val="1"/>
        <w:bCs w:val="1"/>
        <w:sz w:val="36"/>
        <w:szCs w:val="36"/>
      </w:rPr>
    </w:pPr>
    <w:r w:rsidDel="00000000" w:rsidR="00000000" w:rsidRPr="00000000">
      <w:rPr>
        <w:rFonts w:ascii="Garamond" w:cs="Garamond" w:eastAsia="Garamond" w:hAnsi="Garamond"/>
        <w:b w:val="1"/>
        <w:bCs w:val="1"/>
        <w:sz w:val="52"/>
        <w:szCs w:val="52"/>
        <w:rtl w:val="0"/>
      </w:rPr>
      <w:t xml:space="preserve">PANNON EGYETEM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935" distR="114935" hidden="0" layoutInCell="1" locked="0" relativeHeight="0" simplePos="0">
          <wp:simplePos x="0" y="0"/>
          <wp:positionH relativeFrom="column">
            <wp:posOffset>5106035</wp:posOffset>
          </wp:positionH>
          <wp:positionV relativeFrom="paragraph">
            <wp:posOffset>76200</wp:posOffset>
          </wp:positionV>
          <wp:extent cx="970915" cy="970915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0915" cy="9709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935" distR="114935" hidden="0" layoutInCell="1" locked="0" relativeHeight="0" simplePos="0">
          <wp:simplePos x="0" y="0"/>
          <wp:positionH relativeFrom="column">
            <wp:posOffset>114935</wp:posOffset>
          </wp:positionH>
          <wp:positionV relativeFrom="paragraph">
            <wp:posOffset>114300</wp:posOffset>
          </wp:positionV>
          <wp:extent cx="913765" cy="892175"/>
          <wp:effectExtent b="0" l="0" r="0" t="0"/>
          <wp:wrapNone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457" l="0" r="0" t="457"/>
                  <a:stretch>
                    <a:fillRect/>
                  </a:stretch>
                </pic:blipFill>
                <pic:spPr>
                  <a:xfrm>
                    <a:off x="0" y="0"/>
                    <a:ext cx="913765" cy="8921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Garamond" w:cs="Garamond" w:eastAsia="Garamond" w:hAnsi="Garamond"/>
        <w:b w:val="1"/>
        <w:bCs w:val="1"/>
        <w:sz w:val="36"/>
        <w:szCs w:val="36"/>
      </w:rPr>
    </w:pPr>
    <w:r w:rsidDel="00000000" w:rsidR="00000000" w:rsidRPr="00000000">
      <w:rPr>
        <w:rFonts w:ascii="Garamond" w:cs="Garamond" w:eastAsia="Garamond" w:hAnsi="Garamond"/>
        <w:b w:val="1"/>
        <w:bCs w:val="1"/>
        <w:sz w:val="36"/>
        <w:szCs w:val="36"/>
        <w:rtl w:val="0"/>
      </w:rPr>
      <w:t xml:space="preserve">Hallgatói Önkormányzat</w:t>
    </w:r>
  </w:p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/>
    </w:pPr>
    <w:r w:rsidDel="00000000" w:rsidR="00000000" w:rsidRPr="00000000">
      <w:rPr>
        <w:rFonts w:ascii="Garamond" w:cs="Garamond" w:eastAsia="Garamond" w:hAnsi="Garamond"/>
        <w:b w:val="1"/>
        <w:bCs w:val="1"/>
        <w:sz w:val="36"/>
        <w:szCs w:val="36"/>
        <w:rtl w:val="0"/>
      </w:rPr>
      <w:t xml:space="preserve">Szociális Bizottság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zOZcPEuakqeOi050cC/eNKDSgQ==">CgMxLjAyCWguMzBqMHpsbDIJaC4yZXQ5MnAwOAByITE0cXF6d2ZkV0RKcFNKbHoydjhTQy1BYnhOWlVaY0pIYw==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